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8FE88" w14:textId="230EDDE6" w:rsidR="006964E9" w:rsidRPr="00DD19B1" w:rsidRDefault="00DD19B1" w:rsidP="00DD19B1">
      <w:pPr>
        <w:pStyle w:val="Default"/>
        <w:jc w:val="center"/>
        <w:rPr>
          <w:b/>
          <w:bCs/>
        </w:rPr>
      </w:pPr>
      <w:bookmarkStart w:id="0" w:name="_GoBack"/>
      <w:bookmarkEnd w:id="0"/>
      <w:r w:rsidRPr="00DD19B1">
        <w:rPr>
          <w:b/>
          <w:bCs/>
        </w:rPr>
        <w:t>Angell Snyder School of Business</w:t>
      </w:r>
    </w:p>
    <w:p w14:paraId="35413EB1" w14:textId="77777777" w:rsidR="00DD19B1" w:rsidRDefault="00DD19B1" w:rsidP="00DD19B1">
      <w:pPr>
        <w:pStyle w:val="Default"/>
        <w:jc w:val="center"/>
        <w:rPr>
          <w:b/>
          <w:bCs/>
          <w:sz w:val="22"/>
          <w:szCs w:val="22"/>
        </w:rPr>
      </w:pPr>
    </w:p>
    <w:p w14:paraId="0C6392FB" w14:textId="1E256400" w:rsidR="00DD19B1" w:rsidRDefault="00DD19B1" w:rsidP="00DD19B1">
      <w:pPr>
        <w:pStyle w:val="Default"/>
        <w:jc w:val="center"/>
        <w:rPr>
          <w:b/>
          <w:bCs/>
          <w:sz w:val="22"/>
          <w:szCs w:val="22"/>
        </w:rPr>
      </w:pPr>
      <w:r>
        <w:rPr>
          <w:b/>
          <w:bCs/>
          <w:sz w:val="22"/>
          <w:szCs w:val="22"/>
        </w:rPr>
        <w:t>Retention / Enrollment Data</w:t>
      </w:r>
    </w:p>
    <w:p w14:paraId="630A532A" w14:textId="77777777" w:rsidR="00DD19B1" w:rsidRDefault="00DD19B1" w:rsidP="006964E9">
      <w:pPr>
        <w:pStyle w:val="Default"/>
        <w:rPr>
          <w:b/>
          <w:bCs/>
          <w:sz w:val="22"/>
          <w:szCs w:val="22"/>
        </w:rPr>
      </w:pPr>
    </w:p>
    <w:tbl>
      <w:tblPr>
        <w:tblStyle w:val="TableGrid"/>
        <w:tblW w:w="13213" w:type="dxa"/>
        <w:tblInd w:w="-342" w:type="dxa"/>
        <w:tblLook w:val="04A0" w:firstRow="1" w:lastRow="0" w:firstColumn="1" w:lastColumn="0" w:noHBand="0" w:noVBand="1"/>
      </w:tblPr>
      <w:tblGrid>
        <w:gridCol w:w="1438"/>
        <w:gridCol w:w="1441"/>
        <w:gridCol w:w="71"/>
        <w:gridCol w:w="1280"/>
        <w:gridCol w:w="147"/>
        <w:gridCol w:w="1360"/>
        <w:gridCol w:w="57"/>
        <w:gridCol w:w="1443"/>
        <w:gridCol w:w="5976"/>
      </w:tblGrid>
      <w:tr w:rsidR="006964E9" w:rsidRPr="00475608" w14:paraId="5A1A5FD1" w14:textId="77777777" w:rsidTr="004B19B8">
        <w:tc>
          <w:tcPr>
            <w:tcW w:w="13213" w:type="dxa"/>
            <w:gridSpan w:val="9"/>
          </w:tcPr>
          <w:p w14:paraId="15398119" w14:textId="77777777" w:rsidR="006964E9" w:rsidRPr="00475608" w:rsidRDefault="006964E9" w:rsidP="006964E9">
            <w:pPr>
              <w:pStyle w:val="Default"/>
              <w:rPr>
                <w:rFonts w:ascii="Times New Roman" w:hAnsi="Times New Roman" w:cs="Times New Roman"/>
              </w:rPr>
            </w:pPr>
            <w:r w:rsidRPr="00FA11A4">
              <w:rPr>
                <w:rFonts w:ascii="Times New Roman" w:hAnsi="Times New Roman" w:cs="Times New Roman"/>
                <w:b/>
                <w:sz w:val="28"/>
              </w:rPr>
              <w:t>Organizational</w:t>
            </w:r>
            <w:r w:rsidRPr="00FA11A4">
              <w:rPr>
                <w:rFonts w:ascii="Times New Roman" w:hAnsi="Times New Roman" w:cs="Times New Roman"/>
                <w:sz w:val="28"/>
              </w:rPr>
              <w:t xml:space="preserve"> </w:t>
            </w:r>
            <w:r w:rsidRPr="00FA11A4">
              <w:rPr>
                <w:rFonts w:ascii="Times New Roman" w:hAnsi="Times New Roman" w:cs="Times New Roman"/>
                <w:b/>
                <w:sz w:val="28"/>
              </w:rPr>
              <w:t>Effectiveness Results</w:t>
            </w:r>
          </w:p>
        </w:tc>
      </w:tr>
      <w:tr w:rsidR="00CA1070" w:rsidRPr="00475608" w14:paraId="2B6F6974" w14:textId="77777777" w:rsidTr="004B19B8">
        <w:tc>
          <w:tcPr>
            <w:tcW w:w="1438" w:type="dxa"/>
            <w:vAlign w:val="bottom"/>
          </w:tcPr>
          <w:p w14:paraId="40DAB68F" w14:textId="77777777" w:rsidR="006964E9" w:rsidRPr="00475608" w:rsidRDefault="006964E9" w:rsidP="006964E9">
            <w:pPr>
              <w:pStyle w:val="Default"/>
              <w:rPr>
                <w:rFonts w:ascii="Times New Roman" w:hAnsi="Times New Roman" w:cs="Times New Roman"/>
                <w:b/>
                <w:sz w:val="22"/>
              </w:rPr>
            </w:pPr>
            <w:r w:rsidRPr="00475608">
              <w:rPr>
                <w:rFonts w:ascii="Times New Roman" w:hAnsi="Times New Roman" w:cs="Times New Roman"/>
                <w:b/>
                <w:sz w:val="22"/>
              </w:rPr>
              <w:t>Performance Measure</w:t>
            </w:r>
          </w:p>
        </w:tc>
        <w:tc>
          <w:tcPr>
            <w:tcW w:w="1512" w:type="dxa"/>
            <w:gridSpan w:val="2"/>
            <w:vAlign w:val="bottom"/>
          </w:tcPr>
          <w:p w14:paraId="219A596D" w14:textId="77777777" w:rsidR="006964E9" w:rsidRPr="00475608" w:rsidRDefault="006964E9" w:rsidP="006964E9">
            <w:pPr>
              <w:pStyle w:val="Default"/>
              <w:rPr>
                <w:rFonts w:ascii="Times New Roman" w:hAnsi="Times New Roman" w:cs="Times New Roman"/>
                <w:b/>
                <w:sz w:val="22"/>
              </w:rPr>
            </w:pPr>
            <w:r w:rsidRPr="00475608">
              <w:rPr>
                <w:rFonts w:ascii="Times New Roman" w:hAnsi="Times New Roman" w:cs="Times New Roman"/>
                <w:b/>
                <w:sz w:val="22"/>
              </w:rPr>
              <w:t>Measurement Instrument &amp; Length of Cycle</w:t>
            </w:r>
          </w:p>
        </w:tc>
        <w:tc>
          <w:tcPr>
            <w:tcW w:w="1427" w:type="dxa"/>
            <w:gridSpan w:val="2"/>
            <w:vAlign w:val="bottom"/>
          </w:tcPr>
          <w:p w14:paraId="39657D65" w14:textId="77777777" w:rsidR="006964E9" w:rsidRPr="00475608" w:rsidRDefault="006964E9" w:rsidP="006964E9">
            <w:pPr>
              <w:pStyle w:val="Default"/>
              <w:rPr>
                <w:rFonts w:ascii="Times New Roman" w:hAnsi="Times New Roman" w:cs="Times New Roman"/>
                <w:b/>
                <w:sz w:val="22"/>
              </w:rPr>
            </w:pPr>
            <w:r w:rsidRPr="00475608">
              <w:rPr>
                <w:rFonts w:ascii="Times New Roman" w:hAnsi="Times New Roman" w:cs="Times New Roman"/>
                <w:b/>
                <w:sz w:val="22"/>
              </w:rPr>
              <w:t>Current Results</w:t>
            </w:r>
          </w:p>
        </w:tc>
        <w:tc>
          <w:tcPr>
            <w:tcW w:w="1360" w:type="dxa"/>
            <w:vAlign w:val="bottom"/>
          </w:tcPr>
          <w:p w14:paraId="05885A85" w14:textId="77777777" w:rsidR="006964E9" w:rsidRPr="00475608" w:rsidRDefault="006964E9" w:rsidP="006964E9">
            <w:pPr>
              <w:pStyle w:val="Default"/>
              <w:rPr>
                <w:rFonts w:ascii="Times New Roman" w:hAnsi="Times New Roman" w:cs="Times New Roman"/>
                <w:b/>
                <w:sz w:val="22"/>
              </w:rPr>
            </w:pPr>
            <w:r w:rsidRPr="00475608">
              <w:rPr>
                <w:rFonts w:ascii="Times New Roman" w:hAnsi="Times New Roman" w:cs="Times New Roman"/>
                <w:b/>
                <w:sz w:val="22"/>
              </w:rPr>
              <w:t>Analysis of Results</w:t>
            </w:r>
          </w:p>
        </w:tc>
        <w:tc>
          <w:tcPr>
            <w:tcW w:w="1500" w:type="dxa"/>
            <w:gridSpan w:val="2"/>
            <w:vAlign w:val="bottom"/>
          </w:tcPr>
          <w:p w14:paraId="5B055716" w14:textId="77777777" w:rsidR="006964E9" w:rsidRPr="00475608" w:rsidRDefault="006964E9" w:rsidP="006964E9">
            <w:pPr>
              <w:pStyle w:val="Default"/>
              <w:rPr>
                <w:rFonts w:ascii="Times New Roman" w:hAnsi="Times New Roman" w:cs="Times New Roman"/>
                <w:b/>
                <w:sz w:val="22"/>
              </w:rPr>
            </w:pPr>
            <w:r w:rsidRPr="00475608">
              <w:rPr>
                <w:rFonts w:ascii="Times New Roman" w:hAnsi="Times New Roman" w:cs="Times New Roman"/>
                <w:b/>
                <w:sz w:val="22"/>
              </w:rPr>
              <w:t>Action Taken or Improvement made</w:t>
            </w:r>
          </w:p>
        </w:tc>
        <w:tc>
          <w:tcPr>
            <w:tcW w:w="5976" w:type="dxa"/>
            <w:vAlign w:val="bottom"/>
          </w:tcPr>
          <w:p w14:paraId="76EADEB9" w14:textId="77777777" w:rsidR="006964E9" w:rsidRPr="00475608" w:rsidRDefault="006964E9" w:rsidP="006964E9">
            <w:pPr>
              <w:pStyle w:val="Default"/>
              <w:rPr>
                <w:rFonts w:ascii="Times New Roman" w:hAnsi="Times New Roman" w:cs="Times New Roman"/>
                <w:b/>
                <w:sz w:val="22"/>
              </w:rPr>
            </w:pPr>
            <w:r w:rsidRPr="00475608">
              <w:rPr>
                <w:rFonts w:ascii="Times New Roman" w:hAnsi="Times New Roman" w:cs="Times New Roman"/>
                <w:b/>
                <w:sz w:val="22"/>
              </w:rPr>
              <w:t>Insert Graphs or Tables of Resulting Trends</w:t>
            </w:r>
          </w:p>
        </w:tc>
      </w:tr>
      <w:tr w:rsidR="004B19B8" w:rsidRPr="00475608" w14:paraId="6AD33072" w14:textId="77777777" w:rsidTr="004B19B8">
        <w:trPr>
          <w:trHeight w:val="5903"/>
        </w:trPr>
        <w:tc>
          <w:tcPr>
            <w:tcW w:w="1438" w:type="dxa"/>
          </w:tcPr>
          <w:p w14:paraId="6C2D3F8F" w14:textId="77777777" w:rsidR="006964E9" w:rsidRPr="00475608" w:rsidRDefault="00475608" w:rsidP="006964E9">
            <w:pPr>
              <w:pStyle w:val="Default"/>
              <w:rPr>
                <w:rFonts w:ascii="Times New Roman" w:hAnsi="Times New Roman" w:cs="Times New Roman"/>
                <w:sz w:val="20"/>
              </w:rPr>
            </w:pPr>
            <w:r w:rsidRPr="00475608">
              <w:rPr>
                <w:rFonts w:ascii="Times New Roman" w:hAnsi="Times New Roman" w:cs="Times New Roman"/>
                <w:sz w:val="20"/>
              </w:rPr>
              <w:t>Enrollment</w:t>
            </w:r>
            <w:r w:rsidR="00FB643E">
              <w:rPr>
                <w:rFonts w:ascii="Times New Roman" w:hAnsi="Times New Roman" w:cs="Times New Roman"/>
                <w:sz w:val="20"/>
              </w:rPr>
              <w:t xml:space="preserve"> / Headcount</w:t>
            </w:r>
          </w:p>
        </w:tc>
        <w:tc>
          <w:tcPr>
            <w:tcW w:w="1512" w:type="dxa"/>
            <w:gridSpan w:val="2"/>
          </w:tcPr>
          <w:p w14:paraId="1EEC488A" w14:textId="77777777" w:rsidR="006964E9" w:rsidRPr="00475608" w:rsidRDefault="00FB643E" w:rsidP="006964E9">
            <w:pPr>
              <w:pStyle w:val="Default"/>
              <w:rPr>
                <w:rFonts w:ascii="Times New Roman" w:hAnsi="Times New Roman" w:cs="Times New Roman"/>
                <w:sz w:val="20"/>
              </w:rPr>
            </w:pPr>
            <w:r>
              <w:rPr>
                <w:rFonts w:ascii="Times New Roman" w:hAnsi="Times New Roman" w:cs="Times New Roman"/>
                <w:sz w:val="20"/>
              </w:rPr>
              <w:t>The business unit’s strategic plan states the business unit would like to increase enrollment 10% annually until fiscal year 2019-2020 with the goal of an overall enrollment of 2,000 students (undergraduate and graduate combined) in the business unit.</w:t>
            </w:r>
          </w:p>
        </w:tc>
        <w:tc>
          <w:tcPr>
            <w:tcW w:w="1427" w:type="dxa"/>
            <w:gridSpan w:val="2"/>
          </w:tcPr>
          <w:p w14:paraId="69A785B6" w14:textId="77777777" w:rsidR="006964E9" w:rsidRPr="00475608" w:rsidRDefault="00FB643E" w:rsidP="004B19B8">
            <w:pPr>
              <w:pStyle w:val="Default"/>
              <w:rPr>
                <w:rFonts w:ascii="Times New Roman" w:hAnsi="Times New Roman" w:cs="Times New Roman"/>
                <w:sz w:val="20"/>
              </w:rPr>
            </w:pPr>
            <w:r>
              <w:rPr>
                <w:rFonts w:ascii="Times New Roman" w:hAnsi="Times New Roman" w:cs="Times New Roman"/>
                <w:sz w:val="20"/>
              </w:rPr>
              <w:t xml:space="preserve">In Fall 2017 the business unit has </w:t>
            </w:r>
            <w:r w:rsidR="004B19B8">
              <w:rPr>
                <w:rFonts w:ascii="Times New Roman" w:hAnsi="Times New Roman" w:cs="Times New Roman"/>
                <w:sz w:val="20"/>
              </w:rPr>
              <w:t>1,152</w:t>
            </w:r>
            <w:r>
              <w:rPr>
                <w:rFonts w:ascii="Times New Roman" w:hAnsi="Times New Roman" w:cs="Times New Roman"/>
                <w:sz w:val="20"/>
              </w:rPr>
              <w:t xml:space="preserve"> students (undergraduate and graduate combined). </w:t>
            </w:r>
          </w:p>
        </w:tc>
        <w:tc>
          <w:tcPr>
            <w:tcW w:w="1360" w:type="dxa"/>
          </w:tcPr>
          <w:p w14:paraId="5AC17E11" w14:textId="77777777" w:rsidR="006964E9" w:rsidRPr="00475608" w:rsidRDefault="00FB643E" w:rsidP="004B19B8">
            <w:pPr>
              <w:pStyle w:val="Default"/>
              <w:rPr>
                <w:rFonts w:ascii="Times New Roman" w:hAnsi="Times New Roman" w:cs="Times New Roman"/>
                <w:sz w:val="20"/>
              </w:rPr>
            </w:pPr>
            <w:r>
              <w:rPr>
                <w:rFonts w:ascii="Times New Roman" w:hAnsi="Times New Roman" w:cs="Times New Roman"/>
                <w:sz w:val="20"/>
              </w:rPr>
              <w:t xml:space="preserve">The graph shows growth </w:t>
            </w:r>
            <w:r w:rsidR="004B19B8">
              <w:rPr>
                <w:rFonts w:ascii="Times New Roman" w:hAnsi="Times New Roman" w:cs="Times New Roman"/>
                <w:sz w:val="20"/>
              </w:rPr>
              <w:t xml:space="preserve">from Fall 2015 to Fall 2017 of 20%. </w:t>
            </w:r>
            <w:r w:rsidR="001354EB">
              <w:rPr>
                <w:rFonts w:ascii="Times New Roman" w:hAnsi="Times New Roman" w:cs="Times New Roman"/>
                <w:sz w:val="20"/>
              </w:rPr>
              <w:t xml:space="preserve"> This growth exceeds the standard set by the business unit.</w:t>
            </w:r>
            <w:r>
              <w:rPr>
                <w:rFonts w:ascii="Times New Roman" w:hAnsi="Times New Roman" w:cs="Times New Roman"/>
                <w:sz w:val="20"/>
              </w:rPr>
              <w:t xml:space="preserve"> </w:t>
            </w:r>
          </w:p>
        </w:tc>
        <w:tc>
          <w:tcPr>
            <w:tcW w:w="1500" w:type="dxa"/>
            <w:gridSpan w:val="2"/>
          </w:tcPr>
          <w:p w14:paraId="4C0E420B" w14:textId="77777777" w:rsidR="006964E9" w:rsidRDefault="001354EB" w:rsidP="00FD2C47">
            <w:pPr>
              <w:pStyle w:val="Default"/>
              <w:rPr>
                <w:rFonts w:ascii="Times New Roman" w:hAnsi="Times New Roman" w:cs="Times New Roman"/>
                <w:sz w:val="20"/>
              </w:rPr>
            </w:pPr>
            <w:r>
              <w:rPr>
                <w:rFonts w:ascii="Times New Roman" w:hAnsi="Times New Roman" w:cs="Times New Roman"/>
                <w:sz w:val="20"/>
              </w:rPr>
              <w:t xml:space="preserve">The ASSB will continue to review both the degree programs offered and the modality mix to ensure that quality is maintained along with the growth. </w:t>
            </w:r>
          </w:p>
          <w:p w14:paraId="5A08811A" w14:textId="77777777" w:rsidR="001354EB" w:rsidRDefault="001354EB" w:rsidP="00FD2C47">
            <w:pPr>
              <w:pStyle w:val="Default"/>
              <w:rPr>
                <w:rFonts w:ascii="Times New Roman" w:hAnsi="Times New Roman" w:cs="Times New Roman"/>
                <w:sz w:val="20"/>
              </w:rPr>
            </w:pPr>
          </w:p>
          <w:p w14:paraId="134DABDF" w14:textId="77777777" w:rsidR="001354EB" w:rsidRPr="00475608" w:rsidRDefault="001354EB" w:rsidP="00FD2C47">
            <w:pPr>
              <w:pStyle w:val="Default"/>
              <w:rPr>
                <w:rFonts w:ascii="Times New Roman" w:hAnsi="Times New Roman" w:cs="Times New Roman"/>
                <w:sz w:val="20"/>
              </w:rPr>
            </w:pPr>
            <w:r>
              <w:rPr>
                <w:rFonts w:ascii="Times New Roman" w:hAnsi="Times New Roman" w:cs="Times New Roman"/>
                <w:sz w:val="20"/>
              </w:rPr>
              <w:t xml:space="preserve">While antidotal, increased utilization of the student success team concept appears to be the primary driver of this metric. </w:t>
            </w:r>
          </w:p>
        </w:tc>
        <w:tc>
          <w:tcPr>
            <w:tcW w:w="5976" w:type="dxa"/>
          </w:tcPr>
          <w:p w14:paraId="25C7534B" w14:textId="77777777" w:rsidR="006964E9" w:rsidRPr="00475608" w:rsidRDefault="004B19B8" w:rsidP="006964E9">
            <w:pPr>
              <w:pStyle w:val="Default"/>
              <w:rPr>
                <w:rFonts w:ascii="Times New Roman" w:hAnsi="Times New Roman" w:cs="Times New Roman"/>
                <w:sz w:val="20"/>
              </w:rPr>
            </w:pPr>
            <w:r>
              <w:rPr>
                <w:noProof/>
              </w:rPr>
              <w:drawing>
                <wp:inline distT="0" distB="0" distL="0" distR="0" wp14:anchorId="51CFBA0D" wp14:editId="29216F46">
                  <wp:extent cx="3657600" cy="36576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r w:rsidR="00DC0738" w:rsidRPr="00475608" w14:paraId="06D92421" w14:textId="77777777" w:rsidTr="004B19B8">
        <w:tc>
          <w:tcPr>
            <w:tcW w:w="1438" w:type="dxa"/>
            <w:tcBorders>
              <w:right w:val="single" w:sz="4" w:space="0" w:color="auto"/>
            </w:tcBorders>
          </w:tcPr>
          <w:p w14:paraId="42F67B34" w14:textId="77777777" w:rsidR="006964E9" w:rsidRPr="00475608" w:rsidRDefault="00475608" w:rsidP="006964E9">
            <w:pPr>
              <w:pStyle w:val="Default"/>
              <w:rPr>
                <w:rFonts w:ascii="Times New Roman" w:hAnsi="Times New Roman" w:cs="Times New Roman"/>
                <w:sz w:val="20"/>
              </w:rPr>
            </w:pPr>
            <w:r w:rsidRPr="00475608">
              <w:rPr>
                <w:rFonts w:ascii="Times New Roman" w:hAnsi="Times New Roman" w:cs="Times New Roman"/>
                <w:sz w:val="20"/>
              </w:rPr>
              <w:lastRenderedPageBreak/>
              <w:t>Retention Rates</w:t>
            </w:r>
          </w:p>
        </w:tc>
        <w:tc>
          <w:tcPr>
            <w:tcW w:w="1512" w:type="dxa"/>
            <w:gridSpan w:val="2"/>
            <w:tcBorders>
              <w:top w:val="single" w:sz="4" w:space="0" w:color="auto"/>
              <w:left w:val="single" w:sz="4" w:space="0" w:color="auto"/>
              <w:bottom w:val="single" w:sz="4" w:space="0" w:color="auto"/>
              <w:right w:val="single" w:sz="4" w:space="0" w:color="auto"/>
            </w:tcBorders>
          </w:tcPr>
          <w:p w14:paraId="04E1420D" w14:textId="77777777" w:rsidR="006964E9" w:rsidRDefault="00475608" w:rsidP="006964E9">
            <w:pPr>
              <w:pStyle w:val="Default"/>
              <w:rPr>
                <w:rFonts w:ascii="Times New Roman" w:hAnsi="Times New Roman" w:cs="Times New Roman"/>
                <w:sz w:val="20"/>
              </w:rPr>
            </w:pPr>
            <w:r w:rsidRPr="00475608">
              <w:rPr>
                <w:rFonts w:ascii="Times New Roman" w:hAnsi="Times New Roman" w:cs="Times New Roman"/>
                <w:sz w:val="20"/>
              </w:rPr>
              <w:t xml:space="preserve">Goal is 65% </w:t>
            </w:r>
            <w:r w:rsidR="00CA1070">
              <w:rPr>
                <w:rFonts w:ascii="Times New Roman" w:hAnsi="Times New Roman" w:cs="Times New Roman"/>
                <w:sz w:val="20"/>
              </w:rPr>
              <w:t>retention rate for undergraduate students.</w:t>
            </w:r>
          </w:p>
          <w:p w14:paraId="50AF9D20" w14:textId="77777777" w:rsidR="00CA1070" w:rsidRDefault="00CA1070" w:rsidP="006964E9">
            <w:pPr>
              <w:pStyle w:val="Default"/>
              <w:rPr>
                <w:rFonts w:ascii="Times New Roman" w:hAnsi="Times New Roman" w:cs="Times New Roman"/>
                <w:sz w:val="20"/>
              </w:rPr>
            </w:pPr>
          </w:p>
          <w:p w14:paraId="7C2BBB80" w14:textId="77777777" w:rsidR="00CA1070" w:rsidRDefault="00CA1070" w:rsidP="006964E9">
            <w:pPr>
              <w:pStyle w:val="Default"/>
              <w:rPr>
                <w:rFonts w:ascii="Times New Roman" w:hAnsi="Times New Roman" w:cs="Times New Roman"/>
                <w:sz w:val="20"/>
              </w:rPr>
            </w:pPr>
            <w:r>
              <w:rPr>
                <w:rFonts w:ascii="Times New Roman" w:hAnsi="Times New Roman" w:cs="Times New Roman"/>
                <w:sz w:val="20"/>
              </w:rPr>
              <w:t>Goal is 65% retention rate for graduate students.</w:t>
            </w:r>
          </w:p>
          <w:p w14:paraId="34C50667" w14:textId="77777777" w:rsidR="00DA1A29" w:rsidRDefault="00DA1A29" w:rsidP="006964E9">
            <w:pPr>
              <w:pStyle w:val="Default"/>
              <w:rPr>
                <w:rFonts w:ascii="Times New Roman" w:hAnsi="Times New Roman" w:cs="Times New Roman"/>
                <w:sz w:val="20"/>
              </w:rPr>
            </w:pPr>
          </w:p>
          <w:p w14:paraId="05935C49" w14:textId="77777777" w:rsidR="00CA1070" w:rsidRDefault="00CA1070" w:rsidP="006964E9">
            <w:pPr>
              <w:pStyle w:val="Default"/>
              <w:rPr>
                <w:rFonts w:ascii="Times New Roman" w:hAnsi="Times New Roman" w:cs="Times New Roman"/>
                <w:sz w:val="20"/>
              </w:rPr>
            </w:pPr>
          </w:p>
          <w:p w14:paraId="01481F36" w14:textId="77777777" w:rsidR="00CA1070" w:rsidRPr="00475608" w:rsidRDefault="00CA1070" w:rsidP="006964E9">
            <w:pPr>
              <w:pStyle w:val="Default"/>
              <w:rPr>
                <w:rFonts w:ascii="Times New Roman" w:hAnsi="Times New Roman" w:cs="Times New Roman"/>
                <w:sz w:val="20"/>
              </w:rPr>
            </w:pPr>
            <w:r>
              <w:rPr>
                <w:rFonts w:ascii="Times New Roman" w:hAnsi="Times New Roman" w:cs="Times New Roman"/>
                <w:sz w:val="20"/>
              </w:rPr>
              <w:t xml:space="preserve"> </w:t>
            </w:r>
          </w:p>
        </w:tc>
        <w:tc>
          <w:tcPr>
            <w:tcW w:w="1427" w:type="dxa"/>
            <w:gridSpan w:val="2"/>
            <w:tcBorders>
              <w:left w:val="single" w:sz="4" w:space="0" w:color="auto"/>
            </w:tcBorders>
          </w:tcPr>
          <w:p w14:paraId="46E2010E" w14:textId="77777777" w:rsidR="006964E9" w:rsidRDefault="00475608" w:rsidP="006964E9">
            <w:pPr>
              <w:pStyle w:val="Default"/>
              <w:rPr>
                <w:rFonts w:ascii="Times New Roman" w:hAnsi="Times New Roman" w:cs="Times New Roman"/>
                <w:sz w:val="20"/>
              </w:rPr>
            </w:pPr>
            <w:r w:rsidRPr="00475608">
              <w:rPr>
                <w:rFonts w:ascii="Times New Roman" w:hAnsi="Times New Roman" w:cs="Times New Roman"/>
                <w:sz w:val="20"/>
              </w:rPr>
              <w:t>Fall 2016</w:t>
            </w:r>
            <w:r w:rsidR="00CA1070">
              <w:rPr>
                <w:rFonts w:ascii="Times New Roman" w:hAnsi="Times New Roman" w:cs="Times New Roman"/>
                <w:sz w:val="20"/>
              </w:rPr>
              <w:t xml:space="preserve"> Cohort</w:t>
            </w:r>
            <w:r w:rsidRPr="00475608">
              <w:rPr>
                <w:rFonts w:ascii="Times New Roman" w:hAnsi="Times New Roman" w:cs="Times New Roman"/>
                <w:sz w:val="20"/>
              </w:rPr>
              <w:t xml:space="preserve"> at The College</w:t>
            </w:r>
            <w:r w:rsidR="00CA1070">
              <w:rPr>
                <w:rFonts w:ascii="Times New Roman" w:hAnsi="Times New Roman" w:cs="Times New Roman"/>
                <w:sz w:val="20"/>
              </w:rPr>
              <w:t xml:space="preserve"> has a retention rate of 52% for FT</w:t>
            </w:r>
            <w:r w:rsidR="00DC0738">
              <w:rPr>
                <w:rFonts w:ascii="Times New Roman" w:hAnsi="Times New Roman" w:cs="Times New Roman"/>
                <w:sz w:val="20"/>
              </w:rPr>
              <w:t>FTFT</w:t>
            </w:r>
            <w:r w:rsidR="00CA1070">
              <w:rPr>
                <w:rFonts w:ascii="Times New Roman" w:hAnsi="Times New Roman" w:cs="Times New Roman"/>
                <w:sz w:val="20"/>
              </w:rPr>
              <w:t xml:space="preserve"> students and 64% for </w:t>
            </w:r>
            <w:r w:rsidRPr="00475608">
              <w:rPr>
                <w:rFonts w:ascii="Times New Roman" w:hAnsi="Times New Roman" w:cs="Times New Roman"/>
                <w:sz w:val="20"/>
              </w:rPr>
              <w:t xml:space="preserve">transfer students for a total retention </w:t>
            </w:r>
            <w:r w:rsidR="00CA1070">
              <w:rPr>
                <w:rFonts w:ascii="Times New Roman" w:hAnsi="Times New Roman" w:cs="Times New Roman"/>
                <w:sz w:val="20"/>
              </w:rPr>
              <w:t xml:space="preserve">rate </w:t>
            </w:r>
            <w:r w:rsidRPr="00475608">
              <w:rPr>
                <w:rFonts w:ascii="Times New Roman" w:hAnsi="Times New Roman" w:cs="Times New Roman"/>
                <w:sz w:val="20"/>
              </w:rPr>
              <w:t xml:space="preserve">of </w:t>
            </w:r>
            <w:r>
              <w:rPr>
                <w:rFonts w:ascii="Times New Roman" w:hAnsi="Times New Roman" w:cs="Times New Roman"/>
                <w:sz w:val="20"/>
              </w:rPr>
              <w:t>55%.</w:t>
            </w:r>
          </w:p>
          <w:p w14:paraId="674F56E4" w14:textId="77777777" w:rsidR="00CA1070" w:rsidRDefault="00CA1070" w:rsidP="006964E9">
            <w:pPr>
              <w:pStyle w:val="Default"/>
              <w:rPr>
                <w:rFonts w:ascii="Times New Roman" w:hAnsi="Times New Roman" w:cs="Times New Roman"/>
                <w:sz w:val="20"/>
              </w:rPr>
            </w:pPr>
          </w:p>
          <w:p w14:paraId="69C56834" w14:textId="77777777" w:rsidR="00CA1070" w:rsidRDefault="00CA1070" w:rsidP="006964E9">
            <w:pPr>
              <w:pStyle w:val="Default"/>
              <w:rPr>
                <w:rFonts w:ascii="Times New Roman" w:hAnsi="Times New Roman" w:cs="Times New Roman"/>
                <w:sz w:val="20"/>
              </w:rPr>
            </w:pPr>
            <w:r>
              <w:rPr>
                <w:rFonts w:ascii="Times New Roman" w:hAnsi="Times New Roman" w:cs="Times New Roman"/>
                <w:sz w:val="20"/>
              </w:rPr>
              <w:t xml:space="preserve">Fall 2016 Cohort for APGS undergraduate students has a retention rate of 60%. </w:t>
            </w:r>
          </w:p>
          <w:p w14:paraId="553B8B00" w14:textId="77777777" w:rsidR="00CA1070" w:rsidRDefault="00CA1070" w:rsidP="006964E9">
            <w:pPr>
              <w:pStyle w:val="Default"/>
              <w:rPr>
                <w:rFonts w:ascii="Times New Roman" w:hAnsi="Times New Roman" w:cs="Times New Roman"/>
                <w:sz w:val="20"/>
              </w:rPr>
            </w:pPr>
          </w:p>
          <w:p w14:paraId="68505F5B" w14:textId="77777777" w:rsidR="00CA1070" w:rsidRPr="00475608" w:rsidRDefault="00CA1070" w:rsidP="006964E9">
            <w:pPr>
              <w:pStyle w:val="Default"/>
              <w:rPr>
                <w:rFonts w:ascii="Times New Roman" w:hAnsi="Times New Roman" w:cs="Times New Roman"/>
                <w:sz w:val="20"/>
              </w:rPr>
            </w:pPr>
            <w:r>
              <w:rPr>
                <w:rFonts w:ascii="Times New Roman" w:hAnsi="Times New Roman" w:cs="Times New Roman"/>
                <w:sz w:val="20"/>
              </w:rPr>
              <w:t xml:space="preserve">The Fall 2015 Cohort for Graduate </w:t>
            </w:r>
            <w:proofErr w:type="gramStart"/>
            <w:r>
              <w:rPr>
                <w:rFonts w:ascii="Times New Roman" w:hAnsi="Times New Roman" w:cs="Times New Roman"/>
                <w:sz w:val="20"/>
              </w:rPr>
              <w:t>students</w:t>
            </w:r>
            <w:proofErr w:type="gramEnd"/>
            <w:r>
              <w:rPr>
                <w:rFonts w:ascii="Times New Roman" w:hAnsi="Times New Roman" w:cs="Times New Roman"/>
                <w:sz w:val="20"/>
              </w:rPr>
              <w:t xml:space="preserve"> retention rate is 71%.</w:t>
            </w:r>
          </w:p>
        </w:tc>
        <w:tc>
          <w:tcPr>
            <w:tcW w:w="1360" w:type="dxa"/>
          </w:tcPr>
          <w:p w14:paraId="6E671686" w14:textId="77777777" w:rsidR="006964E9" w:rsidRDefault="00475608" w:rsidP="006964E9">
            <w:pPr>
              <w:pStyle w:val="Default"/>
              <w:rPr>
                <w:rFonts w:ascii="Times New Roman" w:hAnsi="Times New Roman" w:cs="Times New Roman"/>
                <w:sz w:val="20"/>
              </w:rPr>
            </w:pPr>
            <w:r>
              <w:rPr>
                <w:rFonts w:ascii="Times New Roman" w:hAnsi="Times New Roman" w:cs="Times New Roman"/>
                <w:sz w:val="20"/>
              </w:rPr>
              <w:t>The results for The College are below the goal.</w:t>
            </w:r>
          </w:p>
          <w:p w14:paraId="03D8052D" w14:textId="77777777" w:rsidR="00CA1070" w:rsidRDefault="00CA1070" w:rsidP="006964E9">
            <w:pPr>
              <w:pStyle w:val="Default"/>
              <w:rPr>
                <w:rFonts w:ascii="Times New Roman" w:hAnsi="Times New Roman" w:cs="Times New Roman"/>
                <w:sz w:val="20"/>
              </w:rPr>
            </w:pPr>
          </w:p>
          <w:p w14:paraId="114B3171" w14:textId="77777777" w:rsidR="00CA1070" w:rsidRDefault="00CA1070" w:rsidP="00CA1070">
            <w:pPr>
              <w:pStyle w:val="Default"/>
              <w:rPr>
                <w:rFonts w:ascii="Times New Roman" w:hAnsi="Times New Roman" w:cs="Times New Roman"/>
                <w:sz w:val="20"/>
              </w:rPr>
            </w:pPr>
            <w:r>
              <w:rPr>
                <w:rFonts w:ascii="Times New Roman" w:hAnsi="Times New Roman" w:cs="Times New Roman"/>
                <w:sz w:val="20"/>
              </w:rPr>
              <w:t>The results for APGS undergraduate students are below the goal. The data was disaggregated by campus. The data showed strength in retention at the Kansas City campus (72%) location and a weakness in retention of our Online student population (36%).</w:t>
            </w:r>
          </w:p>
          <w:p w14:paraId="0CB48855" w14:textId="77777777" w:rsidR="00CA1070" w:rsidRDefault="00CA1070" w:rsidP="00CA1070">
            <w:pPr>
              <w:pStyle w:val="Default"/>
              <w:rPr>
                <w:rFonts w:ascii="Times New Roman" w:hAnsi="Times New Roman" w:cs="Times New Roman"/>
                <w:sz w:val="20"/>
              </w:rPr>
            </w:pPr>
          </w:p>
          <w:p w14:paraId="04DED4E9" w14:textId="77777777" w:rsidR="00CA1070" w:rsidRPr="00475608" w:rsidRDefault="001A3F4C" w:rsidP="00CA1070">
            <w:pPr>
              <w:pStyle w:val="Default"/>
              <w:rPr>
                <w:rFonts w:ascii="Times New Roman" w:hAnsi="Times New Roman" w:cs="Times New Roman"/>
                <w:sz w:val="20"/>
              </w:rPr>
            </w:pPr>
            <w:r>
              <w:rPr>
                <w:rFonts w:ascii="Times New Roman" w:hAnsi="Times New Roman" w:cs="Times New Roman"/>
                <w:sz w:val="20"/>
              </w:rPr>
              <w:t>The results from the Graduate student population are above goal. No change is needed.</w:t>
            </w:r>
          </w:p>
        </w:tc>
        <w:tc>
          <w:tcPr>
            <w:tcW w:w="1500" w:type="dxa"/>
            <w:gridSpan w:val="2"/>
          </w:tcPr>
          <w:p w14:paraId="739AB2AD" w14:textId="77777777" w:rsidR="006964E9" w:rsidRPr="00475608" w:rsidRDefault="00475608" w:rsidP="00A729D4">
            <w:pPr>
              <w:pStyle w:val="Default"/>
              <w:rPr>
                <w:rFonts w:ascii="Times New Roman" w:hAnsi="Times New Roman" w:cs="Times New Roman"/>
                <w:sz w:val="20"/>
              </w:rPr>
            </w:pPr>
            <w:r>
              <w:rPr>
                <w:rFonts w:ascii="Times New Roman" w:hAnsi="Times New Roman" w:cs="Times New Roman"/>
                <w:sz w:val="20"/>
              </w:rPr>
              <w:t>Creation of the University-wide Retention and Completion Council (U-RACC) was established in</w:t>
            </w:r>
            <w:r w:rsidR="00DF6AFC">
              <w:rPr>
                <w:rFonts w:ascii="Times New Roman" w:hAnsi="Times New Roman" w:cs="Times New Roman"/>
                <w:sz w:val="20"/>
              </w:rPr>
              <w:t xml:space="preserve"> the</w:t>
            </w:r>
            <w:r>
              <w:rPr>
                <w:rFonts w:ascii="Times New Roman" w:hAnsi="Times New Roman" w:cs="Times New Roman"/>
                <w:sz w:val="20"/>
              </w:rPr>
              <w:t xml:space="preserve"> </w:t>
            </w:r>
            <w:r w:rsidR="00DF6AFC">
              <w:rPr>
                <w:rFonts w:ascii="Times New Roman" w:hAnsi="Times New Roman" w:cs="Times New Roman"/>
                <w:sz w:val="20"/>
              </w:rPr>
              <w:t xml:space="preserve">spring of 2017. </w:t>
            </w:r>
            <w:r w:rsidR="00A729D4">
              <w:rPr>
                <w:rFonts w:ascii="Times New Roman" w:hAnsi="Times New Roman" w:cs="Times New Roman"/>
                <w:sz w:val="20"/>
              </w:rPr>
              <w:t>U-RACC’S charge from the Associate Provost is to oversee student retention, persistence, and completion by: 1. Determining U-RACC assessment methodologies, 2. Collecting and analyzing data, and 3. Presenting findings and recommending assessment-based actions for institutional change.</w:t>
            </w:r>
            <w:r w:rsidR="00DC0738">
              <w:rPr>
                <w:rFonts w:ascii="Times New Roman" w:hAnsi="Times New Roman" w:cs="Times New Roman"/>
                <w:sz w:val="20"/>
              </w:rPr>
              <w:t xml:space="preserve"> </w:t>
            </w:r>
          </w:p>
        </w:tc>
        <w:tc>
          <w:tcPr>
            <w:tcW w:w="5976" w:type="dxa"/>
          </w:tcPr>
          <w:p w14:paraId="10C5945B" w14:textId="77777777" w:rsidR="006964E9" w:rsidRPr="00475608" w:rsidRDefault="00DC0738" w:rsidP="006964E9">
            <w:pPr>
              <w:pStyle w:val="Default"/>
              <w:rPr>
                <w:rFonts w:ascii="Times New Roman" w:hAnsi="Times New Roman" w:cs="Times New Roman"/>
                <w:sz w:val="20"/>
              </w:rPr>
            </w:pPr>
            <w:r w:rsidRPr="00DC0738">
              <w:rPr>
                <w:rFonts w:ascii="Times New Roman" w:hAnsi="Times New Roman" w:cs="Times New Roman"/>
                <w:noProof/>
                <w:sz w:val="20"/>
              </w:rPr>
              <mc:AlternateContent>
                <mc:Choice Requires="wps">
                  <w:drawing>
                    <wp:anchor distT="0" distB="0" distL="114300" distR="114300" simplePos="0" relativeHeight="251659264" behindDoc="0" locked="0" layoutInCell="1" allowOverlap="1" wp14:anchorId="02B68F26" wp14:editId="309E598E">
                      <wp:simplePos x="0" y="0"/>
                      <wp:positionH relativeFrom="column">
                        <wp:posOffset>-50800</wp:posOffset>
                      </wp:positionH>
                      <wp:positionV relativeFrom="paragraph">
                        <wp:posOffset>2746375</wp:posOffset>
                      </wp:positionV>
                      <wp:extent cx="3657600" cy="26142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614295"/>
                              </a:xfrm>
                              <a:prstGeom prst="rect">
                                <a:avLst/>
                              </a:prstGeom>
                              <a:solidFill>
                                <a:srgbClr val="FFFFFF"/>
                              </a:solidFill>
                              <a:ln w="9525">
                                <a:noFill/>
                                <a:miter lim="800000"/>
                                <a:headEnd/>
                                <a:tailEnd/>
                              </a:ln>
                            </wps:spPr>
                            <wps:txbx>
                              <w:txbxContent>
                                <w:p w14:paraId="35074653" w14:textId="77777777" w:rsidR="00DC0738" w:rsidRDefault="00DC0738" w:rsidP="00DC0738">
                                  <w:pPr>
                                    <w:pStyle w:val="Default"/>
                                    <w:rPr>
                                      <w:rFonts w:ascii="Times New Roman" w:hAnsi="Times New Roman" w:cs="Times New Roman"/>
                                      <w:sz w:val="20"/>
                                    </w:rPr>
                                  </w:pPr>
                                  <w:r w:rsidRPr="00DC0738">
                                    <w:rPr>
                                      <w:rFonts w:ascii="Times New Roman" w:hAnsi="Times New Roman" w:cs="Times New Roman"/>
                                      <w:sz w:val="20"/>
                                    </w:rPr>
                                    <w:t>*</w:t>
                                  </w:r>
                                  <w:r w:rsidRPr="00DC0738">
                                    <w:rPr>
                                      <w:rFonts w:ascii="Times New Roman" w:hAnsi="Times New Roman" w:cs="Times New Roman"/>
                                      <w:sz w:val="16"/>
                                    </w:rPr>
                                    <w:t xml:space="preserve"> </w:t>
                                  </w:r>
                                  <w:r>
                                    <w:rPr>
                                      <w:rFonts w:ascii="Times New Roman" w:hAnsi="Times New Roman" w:cs="Times New Roman"/>
                                      <w:sz w:val="20"/>
                                    </w:rPr>
                                    <w:t xml:space="preserve">Retention rate is determined using the IPEDS definition of retention (enrolled in the fall term of year XX and still enrolled in the following Fall term one year later). For APGS students due to the nature of their enrollment patterns and scheduling Ottawa University alters the IPEDS definition slightly by considering students who are enrolled in +/- a term of the following Fall term. (For example a new student in </w:t>
                                  </w:r>
                                  <w:proofErr w:type="gramStart"/>
                                  <w:r>
                                    <w:rPr>
                                      <w:rFonts w:ascii="Times New Roman" w:hAnsi="Times New Roman" w:cs="Times New Roman"/>
                                      <w:sz w:val="20"/>
                                    </w:rPr>
                                    <w:t>Fall</w:t>
                                  </w:r>
                                  <w:proofErr w:type="gramEnd"/>
                                  <w:r>
                                    <w:rPr>
                                      <w:rFonts w:ascii="Times New Roman" w:hAnsi="Times New Roman" w:cs="Times New Roman"/>
                                      <w:sz w:val="20"/>
                                    </w:rPr>
                                    <w:t xml:space="preserve"> of 2016 in APGS is considered retained if they are enrolled in any of the following terms SU 2017, Fall 2017 or Fall II 2017). </w:t>
                                  </w:r>
                                </w:p>
                                <w:p w14:paraId="7321A87A" w14:textId="77777777" w:rsidR="00DC0738" w:rsidRDefault="00DC0738" w:rsidP="00DC0738">
                                  <w:pPr>
                                    <w:pStyle w:val="Default"/>
                                    <w:rPr>
                                      <w:rFonts w:ascii="Times New Roman" w:hAnsi="Times New Roman" w:cs="Times New Roman"/>
                                      <w:sz w:val="20"/>
                                    </w:rPr>
                                  </w:pPr>
                                </w:p>
                                <w:p w14:paraId="6D4957B7" w14:textId="77777777" w:rsidR="00DC0738" w:rsidRDefault="00FD2C47" w:rsidP="00DC0738">
                                  <w:pPr>
                                    <w:pStyle w:val="Default"/>
                                    <w:rPr>
                                      <w:rFonts w:ascii="Times New Roman" w:hAnsi="Times New Roman" w:cs="Times New Roman"/>
                                      <w:sz w:val="20"/>
                                    </w:rPr>
                                  </w:pPr>
                                  <w:r>
                                    <w:rPr>
                                      <w:rFonts w:ascii="Times New Roman" w:hAnsi="Times New Roman" w:cs="Times New Roman"/>
                                      <w:sz w:val="20"/>
                                    </w:rPr>
                                    <w:t>At this tim</w:t>
                                  </w:r>
                                  <w:r w:rsidR="00DC0738">
                                    <w:rPr>
                                      <w:rFonts w:ascii="Times New Roman" w:hAnsi="Times New Roman" w:cs="Times New Roman"/>
                                      <w:sz w:val="20"/>
                                    </w:rPr>
                                    <w:t xml:space="preserve">e only data from The College has been disaggregated by school. It is a goal of U-RACC to disaggregated APGS data by school and graduate student data by program. When this goal is accomplished the business unit will began tracking data for retention and graduation for the business unit. </w:t>
                                  </w:r>
                                </w:p>
                                <w:p w14:paraId="31B6EA03" w14:textId="77777777" w:rsidR="00DC0738" w:rsidRDefault="00DC073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xmlns:w15="http://schemas.microsoft.com/office/word/2012/wordml">
                  <w:pict>
                    <v:shapetype w14:anchorId="02B68F26" id="_x0000_t202" coordsize="21600,21600" o:spt="202" path="m0,0l0,21600,21600,21600,21600,0xe">
                      <v:stroke joinstyle="miter"/>
                      <v:path gradientshapeok="t" o:connecttype="rect"/>
                    </v:shapetype>
                    <v:shape id="Text Box 2" o:spid="_x0000_s1026" type="#_x0000_t202" style="position:absolute;margin-left:-4pt;margin-top:216.25pt;width:4in;height:205.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" stroked="f">
                      <v:textbox style="mso-fit-shape-to-text:t">
                        <w:txbxContent>
                          <w:p w14:paraId="35074653" w14:textId="77777777" w:rsidR="00DC0738" w:rsidRDefault="00DC0738" w:rsidP="00DC0738">
                            <w:pPr>
                              <w:pStyle w:val="Default"/>
                              <w:rPr>
                                <w:rFonts w:ascii="Times New Roman" w:hAnsi="Times New Roman" w:cs="Times New Roman"/>
                                <w:sz w:val="20"/>
                              </w:rPr>
                            </w:pPr>
                            <w:r w:rsidRPr="00DC0738">
                              <w:rPr>
                                <w:rFonts w:ascii="Times New Roman" w:hAnsi="Times New Roman" w:cs="Times New Roman"/>
                                <w:sz w:val="20"/>
                              </w:rPr>
                              <w:t>*</w:t>
                            </w:r>
                            <w:r w:rsidRPr="00DC0738">
                              <w:rPr>
                                <w:rFonts w:ascii="Times New Roman" w:hAnsi="Times New Roman" w:cs="Times New Roman"/>
                                <w:sz w:val="16"/>
                              </w:rPr>
                              <w:t xml:space="preserve"> </w:t>
                            </w:r>
                            <w:r>
                              <w:rPr>
                                <w:rFonts w:ascii="Times New Roman" w:hAnsi="Times New Roman" w:cs="Times New Roman"/>
                                <w:sz w:val="20"/>
                              </w:rPr>
                              <w:t xml:space="preserve">Retention rate is determined using the IPEDS definition of retention (enrolled in the fall term of year XX and still enrolled in the following Fall term one year later). For APGS students due to the nature of their enrollment patterns and scheduling Ottawa University alters the IPEDS definition slightly by considering students who are enrolled in +/- a term of the following Fall term. (For </w:t>
                            </w:r>
                            <w:proofErr w:type="gramStart"/>
                            <w:r>
                              <w:rPr>
                                <w:rFonts w:ascii="Times New Roman" w:hAnsi="Times New Roman" w:cs="Times New Roman"/>
                                <w:sz w:val="20"/>
                              </w:rPr>
                              <w:t>example</w:t>
                            </w:r>
                            <w:proofErr w:type="gramEnd"/>
                            <w:r>
                              <w:rPr>
                                <w:rFonts w:ascii="Times New Roman" w:hAnsi="Times New Roman" w:cs="Times New Roman"/>
                                <w:sz w:val="20"/>
                              </w:rPr>
                              <w:t xml:space="preserve"> a new student in Fall of 2016 in APGS is considered retained if they are enrolled in any of the following terms SU 2017, Fall 2017 or Fall II 2017). </w:t>
                            </w:r>
                          </w:p>
                          <w:p w14:paraId="7321A87A" w14:textId="77777777" w:rsidR="00DC0738" w:rsidRDefault="00DC0738" w:rsidP="00DC0738">
                            <w:pPr>
                              <w:pStyle w:val="Default"/>
                              <w:rPr>
                                <w:rFonts w:ascii="Times New Roman" w:hAnsi="Times New Roman" w:cs="Times New Roman"/>
                                <w:sz w:val="20"/>
                              </w:rPr>
                            </w:pPr>
                          </w:p>
                          <w:p w14:paraId="6D4957B7" w14:textId="77777777" w:rsidR="00DC0738" w:rsidRDefault="00FD2C47" w:rsidP="00DC0738">
                            <w:pPr>
                              <w:pStyle w:val="Default"/>
                              <w:rPr>
                                <w:rFonts w:ascii="Times New Roman" w:hAnsi="Times New Roman" w:cs="Times New Roman"/>
                                <w:sz w:val="20"/>
                              </w:rPr>
                            </w:pPr>
                            <w:r>
                              <w:rPr>
                                <w:rFonts w:ascii="Times New Roman" w:hAnsi="Times New Roman" w:cs="Times New Roman"/>
                                <w:sz w:val="20"/>
                              </w:rPr>
                              <w:t>At this tim</w:t>
                            </w:r>
                            <w:r w:rsidR="00DC0738">
                              <w:rPr>
                                <w:rFonts w:ascii="Times New Roman" w:hAnsi="Times New Roman" w:cs="Times New Roman"/>
                                <w:sz w:val="20"/>
                              </w:rPr>
                              <w:t xml:space="preserve">e only data from The College has been disaggregated by school. It is a goal of U-RACC to disaggregated APGS data by school and graduate student data by program. When this goal is accomplished the business unit will began tracking data for retention and graduation for the business unit. </w:t>
                            </w:r>
                          </w:p>
                          <w:p w14:paraId="31B6EA03" w14:textId="77777777" w:rsidR="00DC0738" w:rsidRDefault="00DC0738"/>
                        </w:txbxContent>
                      </v:textbox>
                    </v:shape>
                  </w:pict>
                </mc:Fallback>
              </mc:AlternateContent>
            </w:r>
            <w:r>
              <w:rPr>
                <w:noProof/>
              </w:rPr>
              <w:drawing>
                <wp:inline distT="0" distB="0" distL="0" distR="0" wp14:anchorId="45DE71A2" wp14:editId="01BA248E">
                  <wp:extent cx="3657600" cy="26003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r w:rsidR="00835374" w:rsidRPr="00475608" w14:paraId="18565DE7" w14:textId="77777777" w:rsidTr="00FD2C47">
        <w:tc>
          <w:tcPr>
            <w:tcW w:w="1438" w:type="dxa"/>
          </w:tcPr>
          <w:p w14:paraId="534BBAE3" w14:textId="77777777" w:rsidR="006964E9" w:rsidRPr="00475608" w:rsidRDefault="00B85D93" w:rsidP="006964E9">
            <w:pPr>
              <w:pStyle w:val="Default"/>
              <w:rPr>
                <w:rFonts w:ascii="Times New Roman" w:hAnsi="Times New Roman" w:cs="Times New Roman"/>
                <w:sz w:val="20"/>
              </w:rPr>
            </w:pPr>
            <w:r>
              <w:rPr>
                <w:rFonts w:ascii="Times New Roman" w:hAnsi="Times New Roman" w:cs="Times New Roman"/>
                <w:sz w:val="20"/>
              </w:rPr>
              <w:lastRenderedPageBreak/>
              <w:t>Graduation</w:t>
            </w:r>
            <w:r w:rsidR="00475608" w:rsidRPr="00475608">
              <w:rPr>
                <w:rFonts w:ascii="Times New Roman" w:hAnsi="Times New Roman" w:cs="Times New Roman"/>
                <w:sz w:val="20"/>
              </w:rPr>
              <w:t xml:space="preserve"> Rates</w:t>
            </w:r>
          </w:p>
        </w:tc>
        <w:tc>
          <w:tcPr>
            <w:tcW w:w="1441" w:type="dxa"/>
            <w:tcBorders>
              <w:top w:val="single" w:sz="4" w:space="0" w:color="auto"/>
            </w:tcBorders>
          </w:tcPr>
          <w:p w14:paraId="1B4D7973" w14:textId="77777777" w:rsidR="006964E9" w:rsidRDefault="00B85D93" w:rsidP="006964E9">
            <w:pPr>
              <w:pStyle w:val="Default"/>
              <w:rPr>
                <w:rFonts w:ascii="Times New Roman" w:hAnsi="Times New Roman" w:cs="Times New Roman"/>
                <w:sz w:val="20"/>
              </w:rPr>
            </w:pPr>
            <w:r>
              <w:rPr>
                <w:rFonts w:ascii="Times New Roman" w:hAnsi="Times New Roman" w:cs="Times New Roman"/>
                <w:sz w:val="20"/>
              </w:rPr>
              <w:t>The goal for The College is 50%.</w:t>
            </w:r>
            <w:r>
              <w:rPr>
                <w:rFonts w:ascii="Times New Roman" w:hAnsi="Times New Roman" w:cs="Times New Roman"/>
                <w:sz w:val="20"/>
              </w:rPr>
              <w:br/>
            </w:r>
            <w:r>
              <w:rPr>
                <w:rFonts w:ascii="Times New Roman" w:hAnsi="Times New Roman" w:cs="Times New Roman"/>
                <w:sz w:val="20"/>
              </w:rPr>
              <w:br/>
              <w:t>The goal for APGS undergraduate students is 60%.</w:t>
            </w:r>
          </w:p>
          <w:p w14:paraId="0638E23C" w14:textId="77777777" w:rsidR="00B85D93" w:rsidRDefault="00B85D93" w:rsidP="006964E9">
            <w:pPr>
              <w:pStyle w:val="Default"/>
              <w:rPr>
                <w:rFonts w:ascii="Times New Roman" w:hAnsi="Times New Roman" w:cs="Times New Roman"/>
                <w:sz w:val="20"/>
              </w:rPr>
            </w:pPr>
          </w:p>
          <w:p w14:paraId="4F4BC6C7" w14:textId="77777777" w:rsidR="00B85D93" w:rsidRPr="00475608" w:rsidRDefault="00B85D93" w:rsidP="006964E9">
            <w:pPr>
              <w:pStyle w:val="Default"/>
              <w:rPr>
                <w:rFonts w:ascii="Times New Roman" w:hAnsi="Times New Roman" w:cs="Times New Roman"/>
                <w:sz w:val="20"/>
              </w:rPr>
            </w:pPr>
            <w:r>
              <w:rPr>
                <w:rFonts w:ascii="Times New Roman" w:hAnsi="Times New Roman" w:cs="Times New Roman"/>
                <w:sz w:val="20"/>
              </w:rPr>
              <w:t>The goal for graduate students is 50%.</w:t>
            </w:r>
          </w:p>
        </w:tc>
        <w:tc>
          <w:tcPr>
            <w:tcW w:w="1351" w:type="dxa"/>
            <w:gridSpan w:val="2"/>
          </w:tcPr>
          <w:p w14:paraId="291595DD" w14:textId="77777777" w:rsidR="006964E9" w:rsidRDefault="00B85D93" w:rsidP="00B85D93">
            <w:pPr>
              <w:rPr>
                <w:rFonts w:ascii="Times New Roman" w:hAnsi="Times New Roman" w:cs="Times New Roman"/>
                <w:color w:val="000000"/>
                <w:sz w:val="20"/>
                <w:szCs w:val="24"/>
              </w:rPr>
            </w:pPr>
            <w:r>
              <w:rPr>
                <w:rFonts w:ascii="Times New Roman" w:hAnsi="Times New Roman" w:cs="Times New Roman"/>
                <w:color w:val="000000"/>
                <w:sz w:val="20"/>
                <w:szCs w:val="24"/>
              </w:rPr>
              <w:t xml:space="preserve">Looking at the most recent Cohort available for 6 year graduations rates (Fall 2010 Cohort) at the College the combine result across all three schools was a graduation rate of 32% for </w:t>
            </w:r>
            <w:r w:rsidR="00DC0738">
              <w:rPr>
                <w:rFonts w:ascii="Times New Roman" w:hAnsi="Times New Roman" w:cs="Times New Roman"/>
                <w:sz w:val="20"/>
              </w:rPr>
              <w:t xml:space="preserve">FYFTFT </w:t>
            </w:r>
            <w:r>
              <w:rPr>
                <w:rFonts w:ascii="Times New Roman" w:hAnsi="Times New Roman" w:cs="Times New Roman"/>
                <w:color w:val="000000"/>
                <w:sz w:val="20"/>
                <w:szCs w:val="24"/>
              </w:rPr>
              <w:t xml:space="preserve">students and a rate of 59% for transfer students. </w:t>
            </w:r>
          </w:p>
          <w:p w14:paraId="3C230365" w14:textId="77777777" w:rsidR="00B85D93" w:rsidRDefault="00B85D93" w:rsidP="00B85D93">
            <w:pPr>
              <w:rPr>
                <w:rFonts w:ascii="Times New Roman" w:hAnsi="Times New Roman" w:cs="Times New Roman"/>
                <w:color w:val="000000"/>
                <w:sz w:val="20"/>
                <w:szCs w:val="24"/>
              </w:rPr>
            </w:pPr>
          </w:p>
          <w:p w14:paraId="264617CE" w14:textId="77777777" w:rsidR="00B85D93" w:rsidRDefault="00B85D93" w:rsidP="00B85D93">
            <w:pPr>
              <w:rPr>
                <w:rFonts w:ascii="Times New Roman" w:hAnsi="Times New Roman" w:cs="Times New Roman"/>
                <w:color w:val="000000"/>
                <w:sz w:val="20"/>
                <w:szCs w:val="24"/>
              </w:rPr>
            </w:pPr>
            <w:r>
              <w:rPr>
                <w:rFonts w:ascii="Times New Roman" w:hAnsi="Times New Roman" w:cs="Times New Roman"/>
                <w:color w:val="000000"/>
                <w:sz w:val="20"/>
                <w:szCs w:val="24"/>
              </w:rPr>
              <w:t>The Fall 2010 APGS cohort has</w:t>
            </w:r>
            <w:r w:rsidR="00FA11A4">
              <w:rPr>
                <w:rFonts w:ascii="Times New Roman" w:hAnsi="Times New Roman" w:cs="Times New Roman"/>
                <w:color w:val="000000"/>
                <w:sz w:val="20"/>
                <w:szCs w:val="24"/>
              </w:rPr>
              <w:t xml:space="preserve"> a graduation rate of 56%</w:t>
            </w:r>
            <w:r>
              <w:rPr>
                <w:rFonts w:ascii="Times New Roman" w:hAnsi="Times New Roman" w:cs="Times New Roman"/>
                <w:color w:val="000000"/>
                <w:sz w:val="20"/>
                <w:szCs w:val="24"/>
              </w:rPr>
              <w:t>.</w:t>
            </w:r>
          </w:p>
          <w:p w14:paraId="6A0BF2B4" w14:textId="77777777" w:rsidR="00B85D93" w:rsidRDefault="00B85D93" w:rsidP="00B85D93">
            <w:pPr>
              <w:rPr>
                <w:rFonts w:ascii="Times New Roman" w:hAnsi="Times New Roman" w:cs="Times New Roman"/>
                <w:color w:val="000000"/>
                <w:sz w:val="20"/>
                <w:szCs w:val="24"/>
              </w:rPr>
            </w:pPr>
          </w:p>
          <w:p w14:paraId="676ADE6C" w14:textId="77777777" w:rsidR="00B85D93" w:rsidRPr="00B85D93" w:rsidRDefault="00B85D93" w:rsidP="00B85D93">
            <w:r>
              <w:rPr>
                <w:rFonts w:ascii="Times New Roman" w:hAnsi="Times New Roman" w:cs="Times New Roman"/>
                <w:color w:val="000000"/>
                <w:sz w:val="20"/>
                <w:szCs w:val="24"/>
              </w:rPr>
              <w:t>The Fall 2010 Graduate Cohort has</w:t>
            </w:r>
            <w:r w:rsidR="00FA11A4">
              <w:rPr>
                <w:rFonts w:ascii="Times New Roman" w:hAnsi="Times New Roman" w:cs="Times New Roman"/>
                <w:color w:val="000000"/>
                <w:sz w:val="20"/>
                <w:szCs w:val="24"/>
              </w:rPr>
              <w:t xml:space="preserve"> a graduation rate of 72%</w:t>
            </w:r>
            <w:r>
              <w:rPr>
                <w:rFonts w:ascii="Times New Roman" w:hAnsi="Times New Roman" w:cs="Times New Roman"/>
                <w:color w:val="000000"/>
                <w:sz w:val="20"/>
                <w:szCs w:val="24"/>
              </w:rPr>
              <w:t>.</w:t>
            </w:r>
          </w:p>
        </w:tc>
        <w:tc>
          <w:tcPr>
            <w:tcW w:w="1564" w:type="dxa"/>
            <w:gridSpan w:val="3"/>
          </w:tcPr>
          <w:p w14:paraId="09E3B8D1" w14:textId="77777777" w:rsidR="00B85D93" w:rsidRDefault="00B85D93" w:rsidP="006964E9">
            <w:pPr>
              <w:pStyle w:val="Default"/>
              <w:rPr>
                <w:rFonts w:ascii="Times New Roman" w:hAnsi="Times New Roman" w:cs="Times New Roman"/>
                <w:sz w:val="20"/>
              </w:rPr>
            </w:pPr>
            <w:r>
              <w:rPr>
                <w:rFonts w:ascii="Times New Roman" w:hAnsi="Times New Roman" w:cs="Times New Roman"/>
                <w:sz w:val="20"/>
              </w:rPr>
              <w:t>The business unit’s disaggregated data shows a graduation rate for the Fall 2010 Cohort of 32%</w:t>
            </w:r>
            <w:r w:rsidR="00DC0738">
              <w:rPr>
                <w:rFonts w:ascii="Times New Roman" w:hAnsi="Times New Roman" w:cs="Times New Roman"/>
                <w:sz w:val="20"/>
              </w:rPr>
              <w:t xml:space="preserve"> for FYFTFT</w:t>
            </w:r>
            <w:r>
              <w:rPr>
                <w:rFonts w:ascii="Times New Roman" w:hAnsi="Times New Roman" w:cs="Times New Roman"/>
                <w:sz w:val="20"/>
              </w:rPr>
              <w:t xml:space="preserve"> students and 71.4% for transfer students. The results are below the goal, but aligned with University standards. </w:t>
            </w:r>
          </w:p>
          <w:p w14:paraId="0035ECC4" w14:textId="77777777" w:rsidR="00B85D93" w:rsidRDefault="00B85D93" w:rsidP="006964E9">
            <w:pPr>
              <w:pStyle w:val="Default"/>
              <w:rPr>
                <w:rFonts w:ascii="Times New Roman" w:hAnsi="Times New Roman" w:cs="Times New Roman"/>
                <w:sz w:val="20"/>
              </w:rPr>
            </w:pPr>
          </w:p>
          <w:p w14:paraId="2FC8CF94" w14:textId="77777777" w:rsidR="00FA11A4" w:rsidRDefault="00B85D93" w:rsidP="006964E9">
            <w:pPr>
              <w:pStyle w:val="Default"/>
              <w:rPr>
                <w:rFonts w:ascii="Times New Roman" w:hAnsi="Times New Roman" w:cs="Times New Roman"/>
                <w:sz w:val="20"/>
              </w:rPr>
            </w:pPr>
            <w:r>
              <w:rPr>
                <w:rFonts w:ascii="Times New Roman" w:hAnsi="Times New Roman" w:cs="Times New Roman"/>
                <w:sz w:val="20"/>
              </w:rPr>
              <w:t>Currently there has been no disaggregation of APGS graduation rates by school. This is a goal for the U-RACC.</w:t>
            </w:r>
            <w:r w:rsidR="00FA11A4">
              <w:rPr>
                <w:rFonts w:ascii="Times New Roman" w:hAnsi="Times New Roman" w:cs="Times New Roman"/>
                <w:sz w:val="20"/>
              </w:rPr>
              <w:t xml:space="preserve"> </w:t>
            </w:r>
          </w:p>
          <w:p w14:paraId="45D03955" w14:textId="77777777" w:rsidR="00B85D93" w:rsidRDefault="00B85D93" w:rsidP="006964E9">
            <w:pPr>
              <w:pStyle w:val="Default"/>
              <w:rPr>
                <w:rFonts w:ascii="Times New Roman" w:hAnsi="Times New Roman" w:cs="Times New Roman"/>
                <w:sz w:val="20"/>
              </w:rPr>
            </w:pPr>
          </w:p>
          <w:p w14:paraId="60344E90" w14:textId="77777777" w:rsidR="00B85D93" w:rsidRPr="00475608" w:rsidRDefault="00B85D93" w:rsidP="00835374">
            <w:pPr>
              <w:pStyle w:val="Default"/>
              <w:rPr>
                <w:rFonts w:ascii="Times New Roman" w:hAnsi="Times New Roman" w:cs="Times New Roman"/>
                <w:sz w:val="20"/>
              </w:rPr>
            </w:pPr>
            <w:r>
              <w:rPr>
                <w:rFonts w:ascii="Times New Roman" w:hAnsi="Times New Roman" w:cs="Times New Roman"/>
                <w:sz w:val="20"/>
              </w:rPr>
              <w:t>Currently there has been no disaggregation of Graduate student graduation rates by program. This is a goal for U-RACC.</w:t>
            </w:r>
            <w:r w:rsidR="00FA11A4">
              <w:rPr>
                <w:rFonts w:ascii="Times New Roman" w:hAnsi="Times New Roman" w:cs="Times New Roman"/>
                <w:sz w:val="20"/>
              </w:rPr>
              <w:t xml:space="preserve"> </w:t>
            </w:r>
          </w:p>
        </w:tc>
        <w:tc>
          <w:tcPr>
            <w:tcW w:w="1443" w:type="dxa"/>
          </w:tcPr>
          <w:p w14:paraId="51B6DE9A" w14:textId="77777777" w:rsidR="006964E9" w:rsidRPr="00475608" w:rsidRDefault="00B85D93" w:rsidP="006964E9">
            <w:pPr>
              <w:pStyle w:val="Default"/>
              <w:rPr>
                <w:rFonts w:ascii="Times New Roman" w:hAnsi="Times New Roman" w:cs="Times New Roman"/>
                <w:sz w:val="20"/>
              </w:rPr>
            </w:pPr>
            <w:r>
              <w:rPr>
                <w:rFonts w:ascii="Times New Roman" w:hAnsi="Times New Roman" w:cs="Times New Roman"/>
                <w:sz w:val="20"/>
              </w:rPr>
              <w:t>The University has made it a priority to focus more attention and resources to improving our retention, persistence, and completion rates. The business unit will aid in these efforts. Please see the Retention Rates Performance Measure for additional information.</w:t>
            </w:r>
          </w:p>
        </w:tc>
        <w:tc>
          <w:tcPr>
            <w:tcW w:w="5976" w:type="dxa"/>
          </w:tcPr>
          <w:p w14:paraId="6F86902F" w14:textId="77777777" w:rsidR="006964E9" w:rsidRPr="00475608" w:rsidRDefault="00835374" w:rsidP="006964E9">
            <w:pPr>
              <w:pStyle w:val="Default"/>
              <w:rPr>
                <w:rFonts w:ascii="Times New Roman" w:hAnsi="Times New Roman" w:cs="Times New Roman"/>
                <w:sz w:val="20"/>
              </w:rPr>
            </w:pPr>
            <w:r>
              <w:rPr>
                <w:noProof/>
              </w:rPr>
              <w:drawing>
                <wp:inline distT="0" distB="0" distL="0" distR="0" wp14:anchorId="5D1900C0" wp14:editId="233EA331">
                  <wp:extent cx="3657600" cy="3224213"/>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445D2017" w14:textId="77777777" w:rsidR="006964E9" w:rsidRPr="00475608" w:rsidRDefault="006964E9" w:rsidP="006964E9">
      <w:pPr>
        <w:pStyle w:val="Default"/>
        <w:rPr>
          <w:rFonts w:ascii="Times New Roman" w:hAnsi="Times New Roman" w:cs="Times New Roman"/>
          <w:sz w:val="22"/>
        </w:rPr>
      </w:pPr>
    </w:p>
    <w:p w14:paraId="43A4DC89" w14:textId="77777777" w:rsidR="004D32E4" w:rsidRDefault="004D32E4">
      <w:pPr>
        <w:rPr>
          <w:rFonts w:ascii="Times New Roman" w:hAnsi="Times New Roman" w:cs="Times New Roman"/>
          <w:sz w:val="24"/>
          <w:szCs w:val="24"/>
        </w:rPr>
      </w:pPr>
    </w:p>
    <w:p w14:paraId="26AD46DE" w14:textId="77777777" w:rsidR="004D32E4" w:rsidRPr="00475608" w:rsidRDefault="004D32E4">
      <w:pPr>
        <w:rPr>
          <w:rFonts w:ascii="Times New Roman" w:hAnsi="Times New Roman" w:cs="Times New Roman"/>
          <w:sz w:val="24"/>
          <w:szCs w:val="24"/>
        </w:rPr>
      </w:pPr>
    </w:p>
    <w:sectPr w:rsidR="004D32E4" w:rsidRPr="00475608" w:rsidSect="00905C4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84F41"/>
    <w:multiLevelType w:val="hybridMultilevel"/>
    <w:tmpl w:val="8E9C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bKh6JROk5iMX6xCJxe7yFFSniq0=" w:salt="6IA338eqozSycu7w9HMIx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4E9"/>
    <w:rsid w:val="00043EC9"/>
    <w:rsid w:val="001354EB"/>
    <w:rsid w:val="00153936"/>
    <w:rsid w:val="001A3F4C"/>
    <w:rsid w:val="00203E7F"/>
    <w:rsid w:val="00412C5E"/>
    <w:rsid w:val="00475608"/>
    <w:rsid w:val="004B19B8"/>
    <w:rsid w:val="004D32E4"/>
    <w:rsid w:val="006964E9"/>
    <w:rsid w:val="00781C4F"/>
    <w:rsid w:val="00807AF2"/>
    <w:rsid w:val="00835374"/>
    <w:rsid w:val="008B237B"/>
    <w:rsid w:val="00905C4B"/>
    <w:rsid w:val="00A729D4"/>
    <w:rsid w:val="00B85D93"/>
    <w:rsid w:val="00CA1070"/>
    <w:rsid w:val="00DA1A29"/>
    <w:rsid w:val="00DC0738"/>
    <w:rsid w:val="00DD19B1"/>
    <w:rsid w:val="00DF6AFC"/>
    <w:rsid w:val="00FA11A4"/>
    <w:rsid w:val="00FB643E"/>
    <w:rsid w:val="00FC0679"/>
    <w:rsid w:val="00FD2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64E9"/>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696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2E4"/>
    <w:pPr>
      <w:ind w:left="720"/>
      <w:contextualSpacing/>
    </w:pPr>
  </w:style>
  <w:style w:type="paragraph" w:styleId="BalloonText">
    <w:name w:val="Balloon Text"/>
    <w:basedOn w:val="Normal"/>
    <w:link w:val="BalloonTextChar"/>
    <w:uiPriority w:val="99"/>
    <w:semiHidden/>
    <w:unhideWhenUsed/>
    <w:rsid w:val="00905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C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64E9"/>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696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2E4"/>
    <w:pPr>
      <w:ind w:left="720"/>
      <w:contextualSpacing/>
    </w:pPr>
  </w:style>
  <w:style w:type="paragraph" w:styleId="BalloonText">
    <w:name w:val="Balloon Text"/>
    <w:basedOn w:val="Normal"/>
    <w:link w:val="BalloonTextChar"/>
    <w:uiPriority w:val="99"/>
    <w:semiHidden/>
    <w:unhideWhenUsed/>
    <w:rsid w:val="00905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C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ebekah.seymour.OTTAWA\AppData\Local\Microsoft\Windows\Temporary%20Internet%20Files\Content.IE5\9FB5Z4XI\Student%20Demographic%20Comparison%20(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ksotfile01\Users$\Rebekah.seymour\ACBSP\2017-2018\Retention%20Data%20by%20School%20(College%20Onl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ksotfile01\Users$\Rebekah.seymour\U-Wide%20Retention%20Task%20Force\Fall%202010%20Cohort%20(The%20Colleg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Enrollment Headcount</a:t>
            </a:r>
            <a:br>
              <a:rPr lang="en-US" sz="1200"/>
            </a:br>
            <a:r>
              <a:rPr lang="en-US" sz="1200"/>
              <a:t>Busines</a:t>
            </a:r>
            <a:r>
              <a:rPr lang="en-US" sz="1200" baseline="0"/>
              <a:t>s Unit</a:t>
            </a:r>
            <a:endParaRPr lang="en-US" sz="1200"/>
          </a:p>
        </c:rich>
      </c:tx>
      <c:overlay val="0"/>
    </c:title>
    <c:autoTitleDeleted val="0"/>
    <c:plotArea>
      <c:layout/>
      <c:barChart>
        <c:barDir val="col"/>
        <c:grouping val="clustered"/>
        <c:varyColors val="0"/>
        <c:ser>
          <c:idx val="0"/>
          <c:order val="0"/>
          <c:tx>
            <c:strRef>
              <c:f>'[Student Demographic Comparison (6).xlsx]Total Enrollment'!$B$24</c:f>
              <c:strCache>
                <c:ptCount val="1"/>
                <c:pt idx="0">
                  <c:v>Business School</c:v>
                </c:pt>
              </c:strCache>
            </c:strRef>
          </c:tx>
          <c:invertIfNegative val="0"/>
          <c:dLbls>
            <c:spPr>
              <a:noFill/>
              <a:ln>
                <a:noFill/>
              </a:ln>
              <a:effectLst/>
            </c:spPr>
            <c:txPr>
              <a:bodyPr/>
              <a:lstStyle/>
              <a:p>
                <a:pPr>
                  <a:defRPr sz="1100"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'[Student Demographic Comparison (6).xlsx]Total Enrollment'!$C$23:$E$23</c:f>
              <c:numCache>
                <c:formatCode>General</c:formatCode>
                <c:ptCount val="3"/>
                <c:pt idx="0">
                  <c:v>2015</c:v>
                </c:pt>
                <c:pt idx="1">
                  <c:v>2016</c:v>
                </c:pt>
                <c:pt idx="2">
                  <c:v>2017</c:v>
                </c:pt>
              </c:numCache>
            </c:numRef>
          </c:cat>
          <c:val>
            <c:numRef>
              <c:f>'[Student Demographic Comparison (6).xlsx]Total Enrollment'!$C$24:$E$24</c:f>
              <c:numCache>
                <c:formatCode>General</c:formatCode>
                <c:ptCount val="3"/>
                <c:pt idx="0">
                  <c:v>927</c:v>
                </c:pt>
                <c:pt idx="1">
                  <c:v>933</c:v>
                </c:pt>
                <c:pt idx="2">
                  <c:v>1152</c:v>
                </c:pt>
              </c:numCache>
            </c:numRef>
          </c:val>
        </c:ser>
        <c:dLbls>
          <c:dLblPos val="outEnd"/>
          <c:showLegendKey val="0"/>
          <c:showVal val="1"/>
          <c:showCatName val="0"/>
          <c:showSerName val="0"/>
          <c:showPercent val="0"/>
          <c:showBubbleSize val="0"/>
        </c:dLbls>
        <c:gapWidth val="150"/>
        <c:axId val="93713920"/>
        <c:axId val="93913472"/>
      </c:barChart>
      <c:catAx>
        <c:axId val="93713920"/>
        <c:scaling>
          <c:orientation val="minMax"/>
        </c:scaling>
        <c:delete val="0"/>
        <c:axPos val="b"/>
        <c:numFmt formatCode="General" sourceLinked="1"/>
        <c:majorTickMark val="none"/>
        <c:minorTickMark val="none"/>
        <c:tickLblPos val="nextTo"/>
        <c:txPr>
          <a:bodyPr/>
          <a:lstStyle/>
          <a:p>
            <a:pPr>
              <a:defRPr sz="900"/>
            </a:pPr>
            <a:endParaRPr lang="en-US"/>
          </a:p>
        </c:txPr>
        <c:crossAx val="93913472"/>
        <c:crosses val="autoZero"/>
        <c:auto val="1"/>
        <c:lblAlgn val="ctr"/>
        <c:lblOffset val="100"/>
        <c:noMultiLvlLbl val="0"/>
      </c:catAx>
      <c:valAx>
        <c:axId val="93913472"/>
        <c:scaling>
          <c:orientation val="minMax"/>
        </c:scaling>
        <c:delete val="0"/>
        <c:axPos val="l"/>
        <c:majorGridlines/>
        <c:title>
          <c:tx>
            <c:rich>
              <a:bodyPr/>
              <a:lstStyle/>
              <a:p>
                <a:pPr>
                  <a:defRPr sz="900"/>
                </a:pPr>
                <a:r>
                  <a:rPr lang="en-US" sz="900"/>
                  <a:t>Number of Students</a:t>
                </a:r>
              </a:p>
            </c:rich>
          </c:tx>
          <c:overlay val="0"/>
        </c:title>
        <c:numFmt formatCode="General" sourceLinked="1"/>
        <c:majorTickMark val="none"/>
        <c:minorTickMark val="none"/>
        <c:tickLblPos val="nextTo"/>
        <c:txPr>
          <a:bodyPr/>
          <a:lstStyle/>
          <a:p>
            <a:pPr>
              <a:defRPr sz="900"/>
            </a:pPr>
            <a:endParaRPr lang="en-US"/>
          </a:p>
        </c:txPr>
        <c:crossAx val="93713920"/>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Retained FYFTFT Students</a:t>
            </a:r>
            <a:r>
              <a:rPr lang="en-US" sz="1200" baseline="0"/>
              <a:t> at The College</a:t>
            </a:r>
            <a:r>
              <a:rPr lang="en-US" sz="1000"/>
              <a:t>*</a:t>
            </a:r>
            <a:endParaRPr lang="en-US" sz="12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Graphs!$A$3</c:f>
              <c:strCache>
                <c:ptCount val="1"/>
                <c:pt idx="0">
                  <c:v>Business School</c:v>
                </c:pt>
              </c:strCache>
            </c:strRef>
          </c:tx>
          <c:invertIfNegative val="0"/>
          <c:dLbls>
            <c:spPr>
              <a:noFill/>
              <a:ln>
                <a:noFill/>
              </a:ln>
              <a:effectLst/>
            </c:spPr>
            <c:txPr>
              <a:bodyPr/>
              <a:lstStyle/>
              <a:p>
                <a:pPr>
                  <a:defRPr sz="11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Graphs!$B$2:$D$2</c:f>
              <c:strCache>
                <c:ptCount val="3"/>
                <c:pt idx="0">
                  <c:v>Fall 2014</c:v>
                </c:pt>
                <c:pt idx="1">
                  <c:v>Fall 2015</c:v>
                </c:pt>
                <c:pt idx="2">
                  <c:v>Fall 2016</c:v>
                </c:pt>
              </c:strCache>
            </c:strRef>
          </c:cat>
          <c:val>
            <c:numRef>
              <c:f>Graphs!$B$3:$D$3</c:f>
              <c:numCache>
                <c:formatCode>0%</c:formatCode>
                <c:ptCount val="3"/>
                <c:pt idx="0">
                  <c:v>0.66700000000000004</c:v>
                </c:pt>
                <c:pt idx="1">
                  <c:v>0.54300000000000004</c:v>
                </c:pt>
                <c:pt idx="2">
                  <c:v>0.49</c:v>
                </c:pt>
              </c:numCache>
            </c:numRef>
          </c:val>
        </c:ser>
        <c:ser>
          <c:idx val="1"/>
          <c:order val="1"/>
          <c:tx>
            <c:strRef>
              <c:f>Graphs!$A$4</c:f>
              <c:strCache>
                <c:ptCount val="1"/>
                <c:pt idx="0">
                  <c:v>University</c:v>
                </c:pt>
              </c:strCache>
            </c:strRef>
          </c:tx>
          <c:invertIfNegative val="0"/>
          <c:dLbls>
            <c:spPr>
              <a:noFill/>
              <a:ln>
                <a:noFill/>
              </a:ln>
              <a:effectLst/>
            </c:spPr>
            <c:txPr>
              <a:bodyPr/>
              <a:lstStyle/>
              <a:p>
                <a:pPr>
                  <a:defRPr sz="11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Graphs!$B$2:$D$2</c:f>
              <c:strCache>
                <c:ptCount val="3"/>
                <c:pt idx="0">
                  <c:v>Fall 2014</c:v>
                </c:pt>
                <c:pt idx="1">
                  <c:v>Fall 2015</c:v>
                </c:pt>
                <c:pt idx="2">
                  <c:v>Fall 2016</c:v>
                </c:pt>
              </c:strCache>
            </c:strRef>
          </c:cat>
          <c:val>
            <c:numRef>
              <c:f>Graphs!$B$4:$D$4</c:f>
              <c:numCache>
                <c:formatCode>0%</c:formatCode>
                <c:ptCount val="3"/>
                <c:pt idx="0">
                  <c:v>0.6</c:v>
                </c:pt>
                <c:pt idx="1">
                  <c:v>0.51</c:v>
                </c:pt>
                <c:pt idx="2">
                  <c:v>0.52</c:v>
                </c:pt>
              </c:numCache>
            </c:numRef>
          </c:val>
        </c:ser>
        <c:dLbls>
          <c:showLegendKey val="0"/>
          <c:showVal val="1"/>
          <c:showCatName val="0"/>
          <c:showSerName val="0"/>
          <c:showPercent val="0"/>
          <c:showBubbleSize val="0"/>
        </c:dLbls>
        <c:gapWidth val="150"/>
        <c:shape val="box"/>
        <c:axId val="93928064"/>
        <c:axId val="93929472"/>
        <c:axId val="0"/>
      </c:bar3DChart>
      <c:catAx>
        <c:axId val="93928064"/>
        <c:scaling>
          <c:orientation val="minMax"/>
        </c:scaling>
        <c:delete val="0"/>
        <c:axPos val="b"/>
        <c:numFmt formatCode="General" sourceLinked="0"/>
        <c:majorTickMark val="none"/>
        <c:minorTickMark val="none"/>
        <c:tickLblPos val="nextTo"/>
        <c:txPr>
          <a:bodyPr/>
          <a:lstStyle/>
          <a:p>
            <a:pPr>
              <a:defRPr sz="900"/>
            </a:pPr>
            <a:endParaRPr lang="en-US"/>
          </a:p>
        </c:txPr>
        <c:crossAx val="93929472"/>
        <c:crosses val="autoZero"/>
        <c:auto val="1"/>
        <c:lblAlgn val="ctr"/>
        <c:lblOffset val="100"/>
        <c:noMultiLvlLbl val="0"/>
      </c:catAx>
      <c:valAx>
        <c:axId val="93929472"/>
        <c:scaling>
          <c:orientation val="minMax"/>
        </c:scaling>
        <c:delete val="0"/>
        <c:axPos val="l"/>
        <c:majorGridlines/>
        <c:title>
          <c:tx>
            <c:rich>
              <a:bodyPr/>
              <a:lstStyle/>
              <a:p>
                <a:pPr>
                  <a:defRPr sz="900"/>
                </a:pPr>
                <a:r>
                  <a:rPr lang="en-US" sz="900"/>
                  <a:t>Percetage Retained</a:t>
                </a:r>
              </a:p>
            </c:rich>
          </c:tx>
          <c:overlay val="0"/>
        </c:title>
        <c:numFmt formatCode="0%" sourceLinked="1"/>
        <c:majorTickMark val="out"/>
        <c:minorTickMark val="none"/>
        <c:tickLblPos val="nextTo"/>
        <c:txPr>
          <a:bodyPr/>
          <a:lstStyle/>
          <a:p>
            <a:pPr>
              <a:defRPr sz="900"/>
            </a:pPr>
            <a:endParaRPr lang="en-US"/>
          </a:p>
        </c:txPr>
        <c:crossAx val="93928064"/>
        <c:crosses val="autoZero"/>
        <c:crossBetween val="between"/>
      </c:valAx>
    </c:plotArea>
    <c:legend>
      <c:legendPos val="r"/>
      <c:overlay val="0"/>
      <c:txPr>
        <a:bodyPr/>
        <a:lstStyle/>
        <a:p>
          <a:pPr>
            <a:defRPr sz="900"/>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Graduation</a:t>
            </a:r>
            <a:r>
              <a:rPr lang="en-US" sz="1200" baseline="0"/>
              <a:t> Rates </a:t>
            </a:r>
            <a:br>
              <a:rPr lang="en-US" sz="1200" baseline="0"/>
            </a:br>
            <a:r>
              <a:rPr lang="en-US" sz="1200" baseline="0"/>
              <a:t>(Fall 2010 Cohort, The College)</a:t>
            </a:r>
            <a:endParaRPr lang="en-US" sz="12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'2010 - BUS'!$S$55</c:f>
              <c:strCache>
                <c:ptCount val="1"/>
                <c:pt idx="0">
                  <c:v>FYFTFT</c:v>
                </c:pt>
              </c:strCache>
            </c:strRef>
          </c:tx>
          <c:invertIfNegative val="0"/>
          <c:dLbls>
            <c:spPr>
              <a:noFill/>
              <a:ln>
                <a:noFill/>
              </a:ln>
              <a:effectLst/>
            </c:spPr>
            <c:txPr>
              <a:bodyPr/>
              <a:lstStyle/>
              <a:p>
                <a:pPr>
                  <a:defRPr sz="11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'2010 - BUS'!$B$56:$R$59</c:f>
              <c:strCache>
                <c:ptCount val="4"/>
                <c:pt idx="0">
                  <c:v>Business School</c:v>
                </c:pt>
                <c:pt idx="1">
                  <c:v>School of Arts &amp; Sciences</c:v>
                </c:pt>
                <c:pt idx="2">
                  <c:v>School of Education</c:v>
                </c:pt>
                <c:pt idx="3">
                  <c:v>University-Wide</c:v>
                </c:pt>
              </c:strCache>
            </c:strRef>
          </c:cat>
          <c:val>
            <c:numRef>
              <c:f>'2010 - BUS'!$S$56:$S$59</c:f>
              <c:numCache>
                <c:formatCode>0%</c:formatCode>
                <c:ptCount val="4"/>
                <c:pt idx="0">
                  <c:v>0.32</c:v>
                </c:pt>
                <c:pt idx="1">
                  <c:v>0.309</c:v>
                </c:pt>
                <c:pt idx="2">
                  <c:v>0.35299999999999998</c:v>
                </c:pt>
                <c:pt idx="3">
                  <c:v>0.32</c:v>
                </c:pt>
              </c:numCache>
            </c:numRef>
          </c:val>
        </c:ser>
        <c:ser>
          <c:idx val="1"/>
          <c:order val="1"/>
          <c:tx>
            <c:strRef>
              <c:f>'2010 - BUS'!$T$55</c:f>
              <c:strCache>
                <c:ptCount val="1"/>
                <c:pt idx="0">
                  <c:v>Transfer</c:v>
                </c:pt>
              </c:strCache>
            </c:strRef>
          </c:tx>
          <c:invertIfNegative val="0"/>
          <c:dLbls>
            <c:spPr>
              <a:noFill/>
              <a:ln>
                <a:noFill/>
              </a:ln>
              <a:effectLst/>
            </c:spPr>
            <c:txPr>
              <a:bodyPr/>
              <a:lstStyle/>
              <a:p>
                <a:pPr>
                  <a:defRPr sz="11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'2010 - BUS'!$B$56:$R$59</c:f>
              <c:strCache>
                <c:ptCount val="4"/>
                <c:pt idx="0">
                  <c:v>Business School</c:v>
                </c:pt>
                <c:pt idx="1">
                  <c:v>School of Arts &amp; Sciences</c:v>
                </c:pt>
                <c:pt idx="2">
                  <c:v>School of Education</c:v>
                </c:pt>
                <c:pt idx="3">
                  <c:v>University-Wide</c:v>
                </c:pt>
              </c:strCache>
            </c:strRef>
          </c:cat>
          <c:val>
            <c:numRef>
              <c:f>'2010 - BUS'!$T$56:$T$59</c:f>
              <c:numCache>
                <c:formatCode>0%</c:formatCode>
                <c:ptCount val="4"/>
                <c:pt idx="0">
                  <c:v>0.71399999999999997</c:v>
                </c:pt>
                <c:pt idx="1">
                  <c:v>0.46400000000000002</c:v>
                </c:pt>
                <c:pt idx="2">
                  <c:v>0.68400000000000005</c:v>
                </c:pt>
                <c:pt idx="3">
                  <c:v>0.59</c:v>
                </c:pt>
              </c:numCache>
            </c:numRef>
          </c:val>
        </c:ser>
        <c:dLbls>
          <c:showLegendKey val="0"/>
          <c:showVal val="1"/>
          <c:showCatName val="0"/>
          <c:showSerName val="0"/>
          <c:showPercent val="0"/>
          <c:showBubbleSize val="0"/>
        </c:dLbls>
        <c:gapWidth val="150"/>
        <c:shape val="box"/>
        <c:axId val="93944064"/>
        <c:axId val="93954048"/>
        <c:axId val="0"/>
      </c:bar3DChart>
      <c:catAx>
        <c:axId val="93944064"/>
        <c:scaling>
          <c:orientation val="minMax"/>
        </c:scaling>
        <c:delete val="0"/>
        <c:axPos val="b"/>
        <c:numFmt formatCode="General" sourceLinked="0"/>
        <c:majorTickMark val="none"/>
        <c:minorTickMark val="none"/>
        <c:tickLblPos val="nextTo"/>
        <c:txPr>
          <a:bodyPr/>
          <a:lstStyle/>
          <a:p>
            <a:pPr>
              <a:defRPr sz="900"/>
            </a:pPr>
            <a:endParaRPr lang="en-US"/>
          </a:p>
        </c:txPr>
        <c:crossAx val="93954048"/>
        <c:crosses val="autoZero"/>
        <c:auto val="1"/>
        <c:lblAlgn val="ctr"/>
        <c:lblOffset val="100"/>
        <c:noMultiLvlLbl val="0"/>
      </c:catAx>
      <c:valAx>
        <c:axId val="93954048"/>
        <c:scaling>
          <c:orientation val="minMax"/>
        </c:scaling>
        <c:delete val="0"/>
        <c:axPos val="l"/>
        <c:majorGridlines/>
        <c:title>
          <c:tx>
            <c:rich>
              <a:bodyPr/>
              <a:lstStyle/>
              <a:p>
                <a:pPr>
                  <a:defRPr sz="900"/>
                </a:pPr>
                <a:r>
                  <a:rPr lang="en-US" sz="900"/>
                  <a:t>Graduation Rate</a:t>
                </a:r>
              </a:p>
            </c:rich>
          </c:tx>
          <c:overlay val="0"/>
        </c:title>
        <c:numFmt formatCode="0%" sourceLinked="1"/>
        <c:majorTickMark val="out"/>
        <c:minorTickMark val="none"/>
        <c:tickLblPos val="nextTo"/>
        <c:txPr>
          <a:bodyPr/>
          <a:lstStyle/>
          <a:p>
            <a:pPr>
              <a:defRPr sz="900"/>
            </a:pPr>
            <a:endParaRPr lang="en-US"/>
          </a:p>
        </c:txPr>
        <c:crossAx val="9394406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517</Words>
  <Characters>2949</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2018-01-16T19:29:00Z</dcterms:created>
  <dcterms:modified xsi:type="dcterms:W3CDTF">2018-01-16T19:40:00Z</dcterms:modified>
</cp:coreProperties>
</file>